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ind w:left="4111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numPr>
          <w:ilvl w:val="0"/>
          <w:numId w:val="0"/>
        </w:numPr>
        <w:ind w:left="4111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указом Губернатора</w:t>
      </w:r>
    </w:p>
    <w:p>
      <w:pPr>
        <w:pStyle w:val="Normal"/>
        <w:numPr>
          <w:ilvl w:val="0"/>
          <w:numId w:val="0"/>
        </w:numPr>
        <w:ind w:left="4111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tbl>
      <w:tblPr>
        <w:tblStyle w:val="a3"/>
        <w:tblW w:w="5635" w:type="dxa"/>
        <w:jc w:val="left"/>
        <w:tblInd w:w="39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2977"/>
        <w:gridCol w:w="550"/>
        <w:gridCol w:w="1258"/>
      </w:tblGrid>
      <w:tr>
        <w:trPr/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23 декабря 2022 г.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82</w:t>
            </w:r>
            <w:bookmarkStart w:id="0" w:name="_GoBack"/>
            <w:bookmarkEnd w:id="0"/>
          </w:p>
        </w:tc>
      </w:tr>
    </w:tbl>
    <w:p>
      <w:pPr>
        <w:pStyle w:val="Normal"/>
        <w:numPr>
          <w:ilvl w:val="0"/>
          <w:numId w:val="0"/>
        </w:numPr>
        <w:ind w:left="4536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1" w:name="Par46"/>
      <w:bookmarkStart w:id="2" w:name="Par46"/>
      <w:bookmarkEnd w:id="2"/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ConsPlusNormal"/>
        <w:suppressAutoHyphens w:val="tru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</w:t>
        <w:br/>
        <w:t>Российской Федерации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 Общие положения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Настоящий Порядок разработан в целях реализации статьи 2 </w:t>
      </w:r>
      <w:r>
        <w:rPr>
          <w:sz w:val="28"/>
          <w:szCs w:val="28"/>
        </w:rPr>
        <w:t>Федерального закона от 07 октября 2022 года № 378-ФЗ «О внесении изменений в статьи 166 и 169 Жилищного кодекса Российской Федерации и Федеральный закон «О внесении изменений в отдельные законодательные акты Российской Федерации» и устанавливает условия и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 (далее также - военнослужащие и контракт соответственно),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</w:r>
      <w:r>
        <w:rPr>
          <w:sz w:val="28"/>
          <w:szCs w:val="28"/>
          <w:lang w:eastAsia="en-US"/>
        </w:rPr>
        <w:t xml:space="preserve"> (далее – пени).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Используемые в настоящем Порядке понятия и термины применяются в том значении, в каком они используются в Жилищном кодексе Российской Федерации и иных нормативных правовых актах Российской Федерации в сфере жилищно-коммунального хозяйства.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 Условия и </w:t>
      </w: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  <w:lang w:eastAsia="en-US"/>
        </w:rPr>
        <w:t>освобождения от начисления пеней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Освобождение от начисления пеней производится гражданам Российской Федерации, постоянно или временно проживающим на территории Сахалинской области, заключившим контракт о прохождении военной службы в связи с призывом на военную службу по мобилизации в Вооруженные Силы Российской Федерации, и членам их семей.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Военнослужащие и члены их семей освобождаются от начисления пеней в период действия контракта.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Военные комиссариаты муниципальных образований Сахалинской области до 5 числа каждого месяца направляют в администрации муниципальных образований Сахалинской области списки (информацию) о гражданах, призванных (уволенных) на военную службу по мобилизации в Вооруженные Силы Российской Федерации с территории соответствующего муниципального образования Сахалинской области, с указанием следующих данных: адрес места жительства военнослужащего, дата заключения контракта</w:t>
      </w:r>
      <w:r>
        <w:rPr/>
        <w:t xml:space="preserve">, </w:t>
      </w:r>
      <w:r>
        <w:rPr>
          <w:rFonts w:cs="Times New Roman" w:ascii="Times New Roman" w:hAnsi="Times New Roman"/>
          <w:sz w:val="28"/>
          <w:szCs w:val="28"/>
        </w:rPr>
        <w:t>дата прекращения действия контракта (далее – списки военнослужащих).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Сахалинской области в течение 5 рабочих дней со дня получения списков военнослужащих направляет списки военнослужащих в ресурсоснабжающие организации, в организации, осуществляющие управление многоквартирными домами (товарищество собственников жилья, жилищный кооператив или иной специализированный потребительский кооператив, управляющую организацию), в организации, оказывающие услуги/работы по содержанию и ремонту общего имущества (при непосредственном управлении в многоквартирном доме) на территории соответствующего муниципального образования Сахалинской области (далее – заинтересованные организации).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Некоммерческая организация «Фонд капитального ремонта многоквартирных домов Сахалинской области» (далее - Фонд) получает списки военнослужащих у военного комиссариата Сахалинской области в соответствии с заключаемым между Фондом и военным комиссариатом Сахалинской области соглашением об информационном взаимодействии.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заключаемого соглашения военный комиссариат Сахалинской области предоставляет Фонду списки военнослужащих с указанием следующих данных: Ф.И.О. военнослужащего, адрес места жительства, дата заключения контракта, дата прекращения действия контракта.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После поступления списков военнослужащих заинтересованные организации и Фонд прекращают начисление пеней военнослужащим и членам их семей и производят соответствующий перерасчет пеней (в случае начисления такой пени).</w:t>
      </w:r>
      <w:r>
        <w:rPr/>
        <w:t xml:space="preserve">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Для освобождения от начисления пеней член семьи военнослужащего, являющийся собственником жилого помещения, подает в заинтересованные организации и Фонд заявление об освобождении от начисления пеней, составленное в произвольной форме (далее - заявление), с приложением следующих документов: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документа, удостоверяющего личность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члена семьи военнослужащего;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документа, подтверждающего родство военнослужащего и членов его семьи (свидетельство о заключении брака, свидетельство о рождении ребенка, свидетельство об усыновлении (удочерении), свидетельство об установлении отцовства);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документа, подтверждающего право собственности на жилое помещение;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копия документа, подтверждающего заключение контракта военнослужащим.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Заинтересованные организации и Фонд в течение 10 рабочих дней со дня регистрации заявления рассматривают заявление и прилагаемые к нему документы, предусмотренные пунктом 2.6 настоящего Порядка, и принимают одно из следующих решений: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 освобождении от начисления пеней;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 отказе в освобождении от начисления пеней.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Основаниями для принятия решения об отказе в освобождении от начисления пеней являются: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непредставление (представление не в полном объеме) документов, указанных в пункте 2.6 настоящего Порядка;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недостоверность сведений, представленных заявителем.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Заинтересованные организации и Фонд информируют заявителя о принятом решении в течение пяти рабочих дней со дня принятия решения, путем направления заявителю письменного уведомления по адресу, указанному в заявлении.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принятия решения об отказе в освобождении от начисления пени в уведомлении указывается причина отказа.</w:t>
      </w:r>
    </w:p>
    <w:tbl>
      <w:tblPr>
        <w:tblStyle w:val="a3"/>
        <w:tblW w:w="17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1"/>
      </w:tblGrid>
      <w:tr>
        <w:trPr>
          <w:trHeight w:val="1134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lang w:val="en-US"/>
      </w:rPr>
    </w:pPr>
    <w:r>
      <w:rPr>
        <w:rFonts w:cs="Arial"/>
        <w:b/>
        <w:szCs w:val="18"/>
      </w:rPr>
      <w:t>00094(п)</w:t>
    </w:r>
    <w:r>
      <w:rPr>
        <w:rFonts w:cs="Arial"/>
        <w:szCs w:val="18"/>
        <w:lang w:val="en-US"/>
      </w:rPr>
      <w:t>(</w:t>
    </w:r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8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55pt;height:14.95pt;mso-wrap-distance-left:0pt;mso-wrap-distance-right:0pt;mso-wrap-distance-top:0pt;mso-wrap-distance-bottom:0pt;margin-top:0.05pt;mso-position-vertical-relative:text;margin-left:230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mirrorMargins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locked/>
    <w:rPr>
      <w:rFonts w:cs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752eef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5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a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04685a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Page" w:customStyle="1">
    <w:name w:val="ConsPlusTitlePage"/>
    <w:qFormat/>
    <w:rsid w:val="0004685a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D7192FFF-C2B2-4F10-B7A4-C791C93B1729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ae519a-a787-4cb6-a9f3-e0d2ce624f9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LibreOffice/7.2.6.2$Windows_X86_64 LibreOffice_project/b0ec3a565991f7569a5a7f5d24fed7f52653d754</Application>
  <AppVersion>15.0000</AppVersion>
  <Pages>4</Pages>
  <Words>713</Words>
  <Characters>5099</Characters>
  <CharactersWithSpaces>5783</CharactersWithSpaces>
  <Paragraphs>35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2023-01-11T12:24:58Z</cp:lastPrinted>
  <dcterms:modified xsi:type="dcterms:W3CDTF">2023-01-11T12:26:10Z</dcterms:modified>
  <cp:revision>112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